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7269D" w:rsidR="00A7269D" w:rsidP="00A7269D" w:rsidRDefault="00860FA2" w14:paraId="1AC9B1A7" w14:textId="16FE664B">
      <w:pPr>
        <w:spacing w:after="200" w:line="240" w:lineRule="auto"/>
        <w:rPr>
          <w:rFonts w:ascii="Arial" w:hAnsi="Arial" w:eastAsia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hAnsi="Calibri" w:eastAsia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422506C8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0349"/>
      </w:tblGrid>
      <w:tr w:rsidRPr="00A7269D" w:rsidR="00860FA2" w:rsidTr="704A5D8A" w14:paraId="39F6FE11" w14:textId="77777777">
        <w:tc>
          <w:tcPr>
            <w:tcW w:w="10349" w:type="dxa"/>
            <w:tcMar/>
          </w:tcPr>
          <w:p w:rsidR="00860FA2" w:rsidP="00305376" w:rsidRDefault="00860FA2" w14:paraId="1CC374BC" w14:textId="13E4EFC8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Pr="05EF8053" w:rsidR="001936B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5EF8053" w:rsidR="001F04DD">
              <w:rPr>
                <w:rFonts w:ascii="Arial" w:hAnsi="Arial" w:eastAsia="Arial" w:cs="Arial"/>
                <w:sz w:val="20"/>
                <w:szCs w:val="20"/>
              </w:rPr>
              <w:t>SEND Case Worker</w:t>
            </w:r>
            <w:r w:rsidRPr="05EF8053" w:rsidR="00A9180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1A1EB0" w:rsidR="00E129C1" w:rsidP="69D3D631" w:rsidRDefault="00E129C1" w14:paraId="78E6C85D" w14:textId="1FCDA1C1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sz w:val="20"/>
                <w:szCs w:val="20"/>
              </w:rPr>
              <w:t>Reports to:</w:t>
            </w:r>
            <w:r w:rsidRPr="05EF8053">
              <w:rPr>
                <w:rFonts w:ascii="Arial" w:hAnsi="Arial" w:eastAsia="Arial" w:cs="Arial"/>
                <w:sz w:val="20"/>
                <w:szCs w:val="20"/>
              </w:rPr>
              <w:t xml:space="preserve"> Senior </w:t>
            </w:r>
            <w:r w:rsidRPr="05EF8053" w:rsidR="65E4F7E6">
              <w:rPr>
                <w:rFonts w:ascii="Arial" w:hAnsi="Arial" w:eastAsia="Arial" w:cs="Arial"/>
                <w:sz w:val="20"/>
                <w:szCs w:val="20"/>
              </w:rPr>
              <w:t xml:space="preserve">SEND </w:t>
            </w:r>
            <w:r w:rsidRPr="05EF8053">
              <w:rPr>
                <w:rFonts w:ascii="Arial" w:hAnsi="Arial" w:eastAsia="Arial" w:cs="Arial"/>
                <w:sz w:val="20"/>
                <w:szCs w:val="20"/>
              </w:rPr>
              <w:t>Case Worker</w:t>
            </w:r>
          </w:p>
          <w:p w:rsidRPr="001A1EB0" w:rsidR="00225021" w:rsidP="00860FA2" w:rsidRDefault="00860FA2" w14:paraId="5B7AA3EA" w14:textId="0C131B9B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: </w:t>
            </w:r>
            <w:r w:rsidR="00091F8C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Cross College </w:t>
            </w:r>
          </w:p>
          <w:p w:rsidRPr="001A1EB0" w:rsidR="00860FA2" w:rsidP="00860FA2" w:rsidRDefault="00860FA2" w14:paraId="7B6DAF9C" w14:textId="77777777">
            <w:pPr>
              <w:tabs>
                <w:tab w:val="left" w:pos="4065"/>
              </w:tabs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Pr="00A7269D" w:rsidR="00860FA2" w:rsidTr="704A5D8A" w14:paraId="01489E07" w14:textId="77777777">
        <w:tc>
          <w:tcPr>
            <w:tcW w:w="10349" w:type="dxa"/>
            <w:tcMar/>
          </w:tcPr>
          <w:p w:rsidRPr="001A1EB0" w:rsidR="00860FA2" w:rsidP="00860FA2" w:rsidRDefault="00860FA2" w14:paraId="537D9888" w14:textId="621AE9AA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Pr="05EF8053" w:rsidR="003337A4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5EF8053" w:rsidR="0002362C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37 hours per week, 52 weeks a year</w:t>
            </w:r>
          </w:p>
          <w:p w:rsidRPr="001A1EB0" w:rsidR="00860FA2" w:rsidP="00860FA2" w:rsidRDefault="00860FA2" w14:paraId="145188C1" w14:textId="1D3A85CA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5EF8053" w:rsidR="00225021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Support</w:t>
            </w:r>
          </w:p>
          <w:p w:rsidRPr="001A1EB0" w:rsidR="00BF7EE9" w:rsidP="704A5D8A" w:rsidRDefault="00860FA2" w14:paraId="36FD0362" w14:textId="5B401726">
            <w:pPr>
              <w:spacing w:after="0" w:line="240" w:lineRule="auto"/>
              <w:rPr>
                <w:rFonts w:ascii="Arial" w:hAnsi="Arial" w:eastAsia="Arial" w:cs="Arial"/>
                <w:noProof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704A5D8A" w:rsidR="00860FA2">
              <w:rPr>
                <w:rFonts w:ascii="Arial" w:hAnsi="Arial" w:eastAsia="Arial" w:cs="Arial"/>
                <w:b w:val="1"/>
                <w:bCs w:val="1"/>
                <w:kern w:val="0"/>
                <w:sz w:val="20"/>
                <w:szCs w:val="20"/>
                <w14:ligatures w14:val="none"/>
              </w:rPr>
              <w:t>Holidays:</w:t>
            </w:r>
            <w:r w:rsidRPr="05EF8053" w:rsidR="00860FA2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704A5D8A" w:rsidR="0BB727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 xml:space="preserve"> 20 Days subject to service increase, plus 8 bank holidays and 6 College closure days.</w:t>
            </w:r>
          </w:p>
          <w:p w:rsidR="00860FA2" w:rsidP="00E841AE" w:rsidRDefault="00860FA2" w14:paraId="2FD66AC0" w14:textId="4B3E7A7A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Pr="05EF8053" w:rsidR="00BA3225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5EF8053" w:rsidR="00BF5748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£29,851</w:t>
            </w:r>
            <w:r w:rsidR="004D3F26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per annum</w:t>
            </w:r>
          </w:p>
          <w:p w:rsidRPr="001A1EB0" w:rsidR="00386A28" w:rsidP="00E841AE" w:rsidRDefault="00386A28" w14:paraId="43CF42F6" w14:textId="1607E832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Pr="00A7269D" w:rsidR="00860FA2" w:rsidTr="704A5D8A" w14:paraId="6568F130" w14:textId="77777777">
        <w:tc>
          <w:tcPr>
            <w:tcW w:w="10349" w:type="dxa"/>
            <w:tcMar/>
          </w:tcPr>
          <w:p w:rsidR="001D1E01" w:rsidP="00860FA2" w:rsidRDefault="00860FA2" w14:paraId="2FE7A045" w14:textId="285349B2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:rsidRPr="00BA3225" w:rsidR="00BA3225" w:rsidP="00BA3225" w:rsidRDefault="00BA3225" w14:paraId="56B511A1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:rsidR="000C0036" w:rsidP="001F04DD" w:rsidRDefault="001F04DD" w14:paraId="1EC222D2" w14:textId="344E520B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To manage and coordinate the college’s response to EHCP consultations and act as a key link between the college</w:t>
            </w:r>
            <w:r w:rsidR="006D6D6D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,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Local Authorities (LAs)</w:t>
            </w:r>
            <w:r w:rsidR="006D6D6D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and external education providers.</w:t>
            </w:r>
          </w:p>
          <w:p w:rsidR="450EE053" w:rsidP="05EF8053" w:rsidRDefault="450EE053" w14:paraId="70D29DB1" w14:textId="2692BB7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0036" w:rsidP="001F04DD" w:rsidRDefault="000C0036" w14:paraId="606395C6" w14:textId="76F4E836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To provide case management, support coordination, </w:t>
            </w:r>
            <w:r w:rsidR="006D6D6D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transitional planning 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and specialist input for </w:t>
            </w:r>
            <w:r w:rsidRPr="05EF8053" w:rsidR="00C60040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students 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with special educational needs and disabilities (SEND)</w:t>
            </w:r>
            <w:r w:rsidRPr="05EF8053" w:rsidR="008F1397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:rsidR="000C0036" w:rsidP="001F04DD" w:rsidRDefault="000C0036" w14:paraId="288B79BB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1F04DD" w:rsidR="001F04DD" w:rsidP="001F04DD" w:rsidRDefault="001F04DD" w14:paraId="1C736EE2" w14:textId="6775AD6F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The postholder will ensure timely, accurate, and appropriate communication regarding placements, provision, and statutory responsibilities. The role includes supporting the transition of </w:t>
            </w:r>
            <w:r w:rsidRPr="05EF8053" w:rsidR="00B8612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students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with SEND into college, contributing to inclusive planning, and ensuring the college remains compliant with the SEND Code of Practice.</w:t>
            </w:r>
          </w:p>
          <w:p w:rsidRPr="00860FA2" w:rsidR="00860FA2" w:rsidP="00305376" w:rsidRDefault="00860FA2" w14:paraId="7BDCEC7A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Pr="00A7269D" w:rsidR="00860FA2" w:rsidTr="704A5D8A" w14:paraId="45E1B421" w14:textId="77777777">
        <w:tc>
          <w:tcPr>
            <w:tcW w:w="10349" w:type="dxa"/>
            <w:tcMar/>
          </w:tcPr>
          <w:p w:rsidRPr="00565820" w:rsidR="00565820" w:rsidP="00565820" w:rsidRDefault="00860FA2" w14:paraId="31E23CF3" w14:textId="5D6E649D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:rsidRPr="00565820" w:rsidR="00565820" w:rsidP="00565820" w:rsidRDefault="00565820" w14:paraId="4F48FF7B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075B27" w:rsidR="00075B27" w:rsidP="00075B27" w:rsidRDefault="00075B27" w14:paraId="2B129A6A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EHCP Consultation Management</w:t>
            </w:r>
          </w:p>
          <w:p w:rsidRPr="00075B27" w:rsidR="00075B27" w:rsidP="00075B27" w:rsidRDefault="00075B27" w14:paraId="03BA9ED7" w14:textId="777777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Lead on the coordination and timely response to EHCP consultations received from Local Authorities.</w:t>
            </w:r>
          </w:p>
          <w:p w:rsidRPr="00075B27" w:rsidR="00075B27" w:rsidP="00075B27" w:rsidRDefault="00075B27" w14:paraId="296C58C7" w14:textId="0414B46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Assess whether the college can meet the needs of a proposed student by reviewing EHCPs, prior educational records, and relevant assessments</w:t>
            </w:r>
            <w:r w:rsidRPr="05EF8053" w:rsidR="00E06EB6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of the colleges provision. </w:t>
            </w:r>
          </w:p>
          <w:p w:rsidR="00075B27" w:rsidP="00075B27" w:rsidRDefault="00075B27" w14:paraId="3C968663" w14:textId="777777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Liaise with curriculum teams, support staff, and facilities to evaluate capacity and appropriateness of provision.</w:t>
            </w:r>
          </w:p>
          <w:p w:rsidR="00584F3D" w:rsidP="05EF8053" w:rsidRDefault="00584F3D" w14:paraId="1EE39823" w14:textId="3078A868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Attend appropriate EHCP annual reviews to </w:t>
            </w:r>
            <w:r w:rsidRPr="05EF8053" w:rsidR="00904AA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assess the needs of </w:t>
            </w:r>
            <w:r w:rsidRPr="05EF8053" w:rsidR="00AF0EA6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incoming students</w:t>
            </w:r>
            <w:r w:rsidRPr="05EF8053" w:rsidR="00595AF5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to enable a full and robust consultation </w:t>
            </w:r>
            <w:r w:rsidRPr="05EF8053" w:rsidR="00EF39CC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responses</w:t>
            </w:r>
            <w:r w:rsidRPr="05EF8053" w:rsidR="00563E28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:rsidR="00256D9F" w:rsidP="00256D9F" w:rsidRDefault="00256D9F" w14:paraId="7BCD1179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:rsidRPr="00563E28" w:rsidR="00256D9F" w:rsidP="05EF8053" w:rsidRDefault="00256D9F" w14:paraId="77EEF752" w14:textId="313E2C8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5EF8053"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Support </w:t>
            </w:r>
          </w:p>
          <w:p w:rsidRPr="00501CF7" w:rsidR="00256D9F" w:rsidP="00256D9F" w:rsidRDefault="00256D9F" w14:paraId="52F0DF2E" w14:textId="7D22C005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Advise on curriculum adaptations, assistive technologies, and personalised interventions aligned to specialist knowledge.</w:t>
            </w:r>
          </w:p>
          <w:p w:rsidRPr="00EF39CC" w:rsidR="00256D9F" w:rsidP="00256D9F" w:rsidRDefault="00256D9F" w14:paraId="6CFB24DF" w14:textId="5DF1413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Promote whole-college awareness and inclusive approaches linked to your area of expertise.</w:t>
            </w:r>
          </w:p>
          <w:p w:rsidR="008027CC" w:rsidP="008027CC" w:rsidRDefault="008027CC" w14:paraId="01C282C7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7152E0" w:rsidR="007152E0" w:rsidP="007152E0" w:rsidRDefault="007152E0" w14:paraId="0FC5079F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Local Authority Liaison</w:t>
            </w:r>
          </w:p>
          <w:p w:rsidR="007152E0" w:rsidP="007152E0" w:rsidRDefault="007152E0" w14:paraId="14C20DD2" w14:textId="5EE16EA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Act as the main point of contact for LA SEND teams regarding new referrals, ongoing cases, and post-16 placement decisions.</w:t>
            </w:r>
          </w:p>
          <w:p w:rsidRPr="007152E0" w:rsidR="00635A7B" w:rsidP="007152E0" w:rsidRDefault="00E671B2" w14:paraId="75AE8979" w14:textId="2549C75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Organise and lead placement breakdown meetings with the LA and relevant agencies. </w:t>
            </w:r>
          </w:p>
          <w:p w:rsidRPr="007152E0" w:rsidR="007152E0" w:rsidP="007152E0" w:rsidRDefault="007152E0" w14:paraId="7398E776" w14:textId="7777777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Ensure effective communication and record-keeping regarding consultation outcomes and placements.</w:t>
            </w:r>
          </w:p>
          <w:p w:rsidR="007152E0" w:rsidP="007152E0" w:rsidRDefault="007152E0" w14:paraId="4BF48038" w14:textId="7777777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Submit documentation in line with statutory deadlines and maintain accurate records of correspondence.</w:t>
            </w:r>
          </w:p>
          <w:p w:rsidRPr="007152E0" w:rsidR="006C6524" w:rsidP="007152E0" w:rsidRDefault="006C6524" w14:paraId="7E620B29" w14:textId="7E1CD1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Frequent communication with link SEND Officers from the LA</w:t>
            </w:r>
          </w:p>
          <w:p w:rsidR="008027CC" w:rsidP="008027CC" w:rsidRDefault="008027CC" w14:paraId="40385AD5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C050DE" w:rsidR="00C050DE" w:rsidP="00C050DE" w:rsidRDefault="00C050DE" w14:paraId="1736277F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Transition and Admissions Support</w:t>
            </w:r>
          </w:p>
          <w:p w:rsidRPr="00C050DE" w:rsidR="00C050DE" w:rsidP="00C050DE" w:rsidRDefault="00C050DE" w14:paraId="1395E56B" w14:textId="7D02821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Support the transition process for new students with EHCPs, including attendance at Year 11 reviews, taster days, and planning meetings.</w:t>
            </w:r>
          </w:p>
          <w:p w:rsidRPr="00C050DE" w:rsidR="00C050DE" w:rsidP="00C050DE" w:rsidRDefault="00C050DE" w14:paraId="788EE8C6" w14:textId="6ECBBD1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Coordinate internal transition planning to ensure </w:t>
            </w:r>
            <w:r w:rsidRPr="05EF8053" w:rsidR="007D0FB7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students</w:t>
            </w: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have the necessary support in place from day one.</w:t>
            </w:r>
          </w:p>
          <w:p w:rsidR="00C050DE" w:rsidP="008027CC" w:rsidRDefault="00C050DE" w14:paraId="077D93E5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11679F" w:rsidR="0011679F" w:rsidP="0011679F" w:rsidRDefault="0011679F" w14:paraId="1B09F5BF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Review and Compliance</w:t>
            </w:r>
          </w:p>
          <w:p w:rsidRPr="0011679F" w:rsidR="0011679F" w:rsidP="0011679F" w:rsidRDefault="0011679F" w14:paraId="7D597C92" w14:textId="7777777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lastRenderedPageBreak/>
              <w:t>Work with colleagues to monitor provision, record progress, and gather evidence to inform LA updates and funding applications.</w:t>
            </w:r>
          </w:p>
          <w:p w:rsidR="0011679F" w:rsidP="0011679F" w:rsidRDefault="0011679F" w14:paraId="6D0CF016" w14:textId="7777777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Support audits and quality assurance processes linked to SEND provision.</w:t>
            </w:r>
          </w:p>
          <w:p w:rsidR="00FA415F" w:rsidP="0011679F" w:rsidRDefault="00FA415F" w14:paraId="1C152046" w14:textId="0A7AA0D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Audit compliance with relevant policies to ensure support is evident and is progressive.</w:t>
            </w:r>
          </w:p>
          <w:p w:rsidR="004F63C4" w:rsidP="05EF8053" w:rsidRDefault="004F63C4" w14:paraId="08E969F1" w14:textId="63E9F64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Contribute to the Performance Management Review (PMR) process</w:t>
            </w:r>
            <w:r w:rsidRPr="05EF8053" w:rsidR="0039294B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 xml:space="preserve"> to link faculties to advise on areas for development/ improvement. </w:t>
            </w:r>
          </w:p>
          <w:p w:rsidR="0011679F" w:rsidP="0011679F" w:rsidRDefault="0011679F" w14:paraId="5C12FF42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:rsidR="0011679F" w:rsidP="0011679F" w:rsidRDefault="0011679F" w14:paraId="2463705C" w14:textId="79841B29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Supporting Inclusive Practice</w:t>
            </w:r>
          </w:p>
          <w:p w:rsidRPr="0011679F" w:rsidR="0025506D" w:rsidP="05EF8053" w:rsidRDefault="0025506D" w14:paraId="793B4A6A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:rsidRPr="0011679F" w:rsidR="0011679F" w:rsidP="0011679F" w:rsidRDefault="0011679F" w14:paraId="15DA3059" w14:textId="7777777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Provide advice and guidance to curriculum and support teams on EHCP provision and post-16 obligations.</w:t>
            </w:r>
          </w:p>
          <w:p w:rsidRPr="0025506D" w:rsidR="00565820" w:rsidP="05EF8053" w:rsidRDefault="0011679F" w14:paraId="75E71526" w14:textId="22A1FB8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Promote inclusive practices and contribute to training or awareness sessions on post-16 SEND responsibilities.</w:t>
            </w:r>
          </w:p>
          <w:p w:rsidRPr="00FC7A84" w:rsidR="00860FA2" w:rsidP="005D0581" w:rsidRDefault="00860FA2" w14:paraId="078CF6B8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Pr="00A7269D" w:rsidR="00860FA2" w:rsidTr="704A5D8A" w14:paraId="6186622F" w14:textId="77777777">
        <w:tc>
          <w:tcPr>
            <w:tcW w:w="10349" w:type="dxa"/>
            <w:tcMar/>
          </w:tcPr>
          <w:p w:rsidRPr="00860FA2" w:rsidR="00860FA2" w:rsidP="00860FA2" w:rsidRDefault="00860FA2" w14:paraId="7EC8342B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Pr="00A7269D" w:rsidR="00860FA2" w:rsidTr="704A5D8A" w14:paraId="4DDD2B6A" w14:textId="77777777">
        <w:tc>
          <w:tcPr>
            <w:tcW w:w="10349" w:type="dxa"/>
            <w:tcMar/>
          </w:tcPr>
          <w:p w:rsidRPr="00766E39" w:rsidR="00766E39" w:rsidP="00766E39" w:rsidRDefault="00766E39" w14:paraId="4BA54E6E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Essential:</w:t>
            </w:r>
          </w:p>
          <w:p w:rsidRPr="00766E39" w:rsidR="00766E39" w:rsidP="00766E39" w:rsidRDefault="00766E39" w14:paraId="1FBEC068" w14:textId="7777777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In-depth knowledge of the SEND Code of Practice (2015) and the post-16 EHCP consultation process.</w:t>
            </w:r>
          </w:p>
          <w:p w:rsidRPr="00766E39" w:rsidR="00766E39" w:rsidP="00766E39" w:rsidRDefault="00766E39" w14:paraId="73E82594" w14:textId="7777777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Experience working with Local Authorities and understanding of placement decision-making.</w:t>
            </w:r>
          </w:p>
          <w:p w:rsidRPr="00766E39" w:rsidR="00766E39" w:rsidP="00766E39" w:rsidRDefault="00766E39" w14:paraId="2BF689C4" w14:textId="7777777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Ability to read, interpret and assess Education, Health and Care Plans.</w:t>
            </w:r>
          </w:p>
          <w:p w:rsidRPr="00766E39" w:rsidR="00766E39" w:rsidP="00766E39" w:rsidRDefault="00766E39" w14:paraId="2C0FE65E" w14:textId="7777777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Strong written and verbal communication skills and confidence in multi-agency settings.</w:t>
            </w:r>
          </w:p>
          <w:p w:rsidR="00766E39" w:rsidP="00766E39" w:rsidRDefault="00766E39" w14:paraId="79056688" w14:textId="7777777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Highly organised, with the ability to manage competing deadlines and maintain accurate records.</w:t>
            </w:r>
          </w:p>
          <w:p w:rsidR="00B667D3" w:rsidP="00766E39" w:rsidRDefault="008D17E6" w14:paraId="7E762E85" w14:textId="1A15EA4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E</w:t>
            </w:r>
            <w:r w:rsidRPr="05EF8053" w:rsidR="003749D5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xperience making adaptations to teaching and learning resources creating an inclusive learning environment.</w:t>
            </w:r>
          </w:p>
          <w:p w:rsidRPr="00766E39" w:rsidR="008D17E6" w:rsidP="05EF8053" w:rsidRDefault="008D17E6" w14:paraId="2EADD5F7" w14:textId="77777777">
            <w:pPr>
              <w:spacing w:after="0" w:line="240" w:lineRule="auto"/>
              <w:ind w:left="720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766E39" w:rsidR="00766E39" w:rsidP="00766E39" w:rsidRDefault="00766E39" w14:paraId="5F3B6D0F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Desirable:</w:t>
            </w:r>
          </w:p>
          <w:p w:rsidRPr="00766E39" w:rsidR="00766E39" w:rsidP="00766E39" w:rsidRDefault="00766E39" w14:paraId="05D3C9D2" w14:textId="77777777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Previous experience in a SEND, casework, or EHCP coordination role (preferably post-16).</w:t>
            </w:r>
          </w:p>
          <w:p w:rsidRPr="00766E39" w:rsidR="00766E39" w:rsidP="00766E39" w:rsidRDefault="00766E39" w14:paraId="28F229F3" w14:textId="0DDAE2D5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Familiarity with LA systems such as EHCP portals</w:t>
            </w:r>
          </w:p>
          <w:p w:rsidRPr="00766E39" w:rsidR="00766E39" w:rsidP="00766E39" w:rsidRDefault="00766E39" w14:paraId="6D400CA4" w14:textId="77777777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Experience supporting young people with a range of needs, including SEMH, ASD, or physical disabilities.</w:t>
            </w:r>
          </w:p>
          <w:p w:rsidRPr="002736F4" w:rsidR="002736F4" w:rsidP="002736F4" w:rsidRDefault="002736F4" w14:paraId="611AE083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233E04" w:rsidR="00B21864" w:rsidP="00233E04" w:rsidRDefault="00B21864" w14:paraId="6D4A138E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Pr="00A7269D" w:rsidR="00860FA2" w:rsidTr="704A5D8A" w14:paraId="56A694CE" w14:textId="77777777">
        <w:tc>
          <w:tcPr>
            <w:tcW w:w="10349" w:type="dxa"/>
            <w:tcMar/>
          </w:tcPr>
          <w:p w:rsidRPr="00860FA2" w:rsidR="00860FA2" w:rsidP="00860FA2" w:rsidRDefault="00860FA2" w14:paraId="0DA49669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:rsidRPr="00860FA2" w:rsidR="00860FA2" w:rsidP="00860FA2" w:rsidRDefault="00860FA2" w14:paraId="7E2AF782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:rsidR="00860FA2" w:rsidP="00860FA2" w:rsidRDefault="00860FA2" w14:paraId="5166445D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:rsidR="285F800C" w:rsidP="05EF8053" w:rsidRDefault="285F800C" w14:paraId="49686B2C" w14:textId="67557E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5EF805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English and Maths L2/GCSE 4.</w:t>
            </w:r>
          </w:p>
          <w:p w:rsidR="00C9211E" w:rsidP="00C9211E" w:rsidRDefault="00C9211E" w14:paraId="564B7EA9" w14:textId="1EAEBAF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  <w:t>SEND Specific qualification</w:t>
            </w:r>
          </w:p>
          <w:p w:rsidR="0AFCF5CF" w:rsidP="05EF8053" w:rsidRDefault="0AFCF5CF" w14:paraId="3F57CF2B" w14:textId="5464CA0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5EF805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Experience and competency in using software for reporting and analysing data, utilising data to make informed decisions.</w:t>
            </w:r>
          </w:p>
          <w:p w:rsidR="00D5025B" w:rsidP="05EF8053" w:rsidRDefault="00D5025B" w14:paraId="65699011" w14:textId="77777777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D5025B" w:rsidR="00D5025B" w:rsidP="05EF8053" w:rsidRDefault="00D5025B" w14:paraId="54C20F34" w14:textId="052B3C63">
            <w:pPr>
              <w:spacing w:after="0" w:line="240" w:lineRule="auto"/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  <w14:ligatures w14:val="none"/>
              </w:rPr>
              <w:t>Desirable:</w:t>
            </w:r>
          </w:p>
          <w:p w:rsidR="55A0B2EF" w:rsidP="05EF8053" w:rsidRDefault="55A0B2EF" w14:paraId="7A9B4261" w14:textId="1ED80A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5EF8053">
              <w:rPr>
                <w:rFonts w:ascii="Arial" w:hAnsi="Arial" w:eastAsia="Arial" w:cs="Arial"/>
                <w:sz w:val="20"/>
                <w:szCs w:val="20"/>
              </w:rPr>
              <w:t>Education and Training Level 3 (or willing to work towards).</w:t>
            </w:r>
          </w:p>
          <w:p w:rsidRPr="00D5025B" w:rsidR="00D5025B" w:rsidP="05EF8053" w:rsidRDefault="00D5025B" w14:paraId="66823A38" w14:textId="0BE124FF">
            <w:pPr>
              <w:spacing w:after="0" w:line="240" w:lineRule="auto"/>
              <w:rPr>
                <w:rFonts w:ascii="Arial" w:hAnsi="Arial" w:eastAsia="Arial" w:cs="Arial"/>
                <w:kern w:val="0"/>
                <w:sz w:val="20"/>
                <w:szCs w:val="20"/>
                <w14:ligatures w14:val="none"/>
              </w:rPr>
            </w:pPr>
          </w:p>
          <w:p w:rsidRPr="00860FA2" w:rsidR="001317CB" w:rsidP="00860FA2" w:rsidRDefault="001317CB" w14:paraId="5D95CB56" w14:textId="77777777">
            <w:pPr>
              <w:spacing w:after="0" w:line="240" w:lineRule="auto"/>
              <w:rPr>
                <w:rFonts w:ascii="Arial" w:hAnsi="Arial" w:eastAsia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:rsidRPr="00A7269D" w:rsidR="00A7269D" w:rsidP="00A7269D" w:rsidRDefault="00A7269D" w14:paraId="46B12125" w14:textId="77777777">
      <w:pPr>
        <w:spacing w:after="200" w:line="240" w:lineRule="auto"/>
        <w:rPr>
          <w:rFonts w:ascii="Arial" w:hAnsi="Arial" w:eastAsia="Calibri" w:cs="Arial"/>
          <w:b/>
          <w:kern w:val="0"/>
          <w:sz w:val="20"/>
          <w:szCs w:val="20"/>
          <w14:ligatures w14:val="none"/>
        </w:rPr>
      </w:pPr>
    </w:p>
    <w:p w:rsidR="00FA2BD6" w:rsidRDefault="00FA2BD6" w14:paraId="487AF6BC" w14:textId="77777777"/>
    <w:sectPr w:rsidR="00FA2BD6" w:rsidSect="00860FA2">
      <w:footerReference w:type="default" r:id="rId11"/>
      <w:pgSz w:w="11906" w:h="16838" w:orient="portrait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135" w:rsidP="00860FA2" w:rsidRDefault="00176135" w14:paraId="01694ED4" w14:textId="77777777">
      <w:pPr>
        <w:spacing w:after="0" w:line="240" w:lineRule="auto"/>
      </w:pPr>
      <w:r>
        <w:separator/>
      </w:r>
    </w:p>
  </w:endnote>
  <w:endnote w:type="continuationSeparator" w:id="0">
    <w:p w:rsidR="00176135" w:rsidP="00860FA2" w:rsidRDefault="00176135" w14:paraId="223E73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E32E6" w:rsidR="001317CB" w:rsidRDefault="003003A5" w14:paraId="3532AA14" w14:textId="79E44DD8">
    <w:pPr>
      <w:pStyle w:val="Footer"/>
      <w:rPr>
        <w:rFonts w:ascii="Arial" w:hAnsi="Arial" w:cs="Arial"/>
        <w:sz w:val="20"/>
        <w:szCs w:val="20"/>
      </w:rPr>
    </w:pPr>
    <w:r w:rsidRPr="008E32E6">
      <w:rPr>
        <w:rFonts w:ascii="Arial" w:hAnsi="Arial" w:cs="Arial"/>
        <w:sz w:val="20"/>
        <w:szCs w:val="20"/>
      </w:rPr>
      <w:t>SEND Case Worker</w:t>
    </w:r>
    <w:r w:rsidRPr="008E32E6" w:rsidR="005235C0">
      <w:rPr>
        <w:rFonts w:ascii="Arial" w:hAnsi="Arial" w:cs="Arial"/>
        <w:sz w:val="20"/>
        <w:szCs w:val="20"/>
      </w:rPr>
      <w:t xml:space="preserve"> </w:t>
    </w:r>
    <w:r w:rsidRPr="008E32E6" w:rsidR="001317CB">
      <w:rPr>
        <w:rFonts w:ascii="Arial" w:hAnsi="Arial" w:cs="Arial"/>
        <w:sz w:val="20"/>
        <w:szCs w:val="20"/>
      </w:rPr>
      <w:t xml:space="preserve">– Job description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135" w:rsidP="00860FA2" w:rsidRDefault="00176135" w14:paraId="5F3E6223" w14:textId="77777777">
      <w:pPr>
        <w:spacing w:after="0" w:line="240" w:lineRule="auto"/>
      </w:pPr>
      <w:r>
        <w:separator/>
      </w:r>
    </w:p>
  </w:footnote>
  <w:footnote w:type="continuationSeparator" w:id="0">
    <w:p w:rsidR="00176135" w:rsidP="00860FA2" w:rsidRDefault="00176135" w14:paraId="19652C0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09082D09"/>
    <w:multiLevelType w:val="multilevel"/>
    <w:tmpl w:val="F9F4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D01004"/>
    <w:multiLevelType w:val="hybridMultilevel"/>
    <w:tmpl w:val="23B43218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C4058"/>
    <w:multiLevelType w:val="multilevel"/>
    <w:tmpl w:val="7AF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1007A5"/>
    <w:multiLevelType w:val="multilevel"/>
    <w:tmpl w:val="EF7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CD5478F"/>
    <w:multiLevelType w:val="hybridMultilevel"/>
    <w:tmpl w:val="D6E46D82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184803"/>
    <w:multiLevelType w:val="multilevel"/>
    <w:tmpl w:val="10922D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F41C0B"/>
    <w:multiLevelType w:val="hybridMultilevel"/>
    <w:tmpl w:val="12C46EEA"/>
    <w:lvl w:ilvl="0" w:tplc="B0A6700C">
      <w:numFmt w:val="bullet"/>
      <w:lvlText w:val="·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20D2E"/>
    <w:multiLevelType w:val="hybridMultilevel"/>
    <w:tmpl w:val="D3D05FB0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BC6587"/>
    <w:multiLevelType w:val="hybridMultilevel"/>
    <w:tmpl w:val="611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E325D3C"/>
    <w:multiLevelType w:val="hybridMultilevel"/>
    <w:tmpl w:val="333CE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CC01AC"/>
    <w:multiLevelType w:val="hybridMultilevel"/>
    <w:tmpl w:val="8114762C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83795"/>
    <w:multiLevelType w:val="hybridMultilevel"/>
    <w:tmpl w:val="F8B4C20C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3969E8"/>
    <w:multiLevelType w:val="multilevel"/>
    <w:tmpl w:val="798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5046925"/>
    <w:multiLevelType w:val="multilevel"/>
    <w:tmpl w:val="07C8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9FF0EE3"/>
    <w:multiLevelType w:val="hybridMultilevel"/>
    <w:tmpl w:val="B906C1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AD56CA"/>
    <w:multiLevelType w:val="hybridMultilevel"/>
    <w:tmpl w:val="74F69C24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CD94B63"/>
    <w:multiLevelType w:val="multilevel"/>
    <w:tmpl w:val="AB1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FBB47E9"/>
    <w:multiLevelType w:val="hybridMultilevel"/>
    <w:tmpl w:val="11D69008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BA43ADD"/>
    <w:multiLevelType w:val="hybridMultilevel"/>
    <w:tmpl w:val="F8964600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8037B5"/>
    <w:multiLevelType w:val="multilevel"/>
    <w:tmpl w:val="A64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6E480E"/>
    <w:multiLevelType w:val="hybridMultilevel"/>
    <w:tmpl w:val="00EA56D6"/>
    <w:lvl w:ilvl="0" w:tplc="82EC3CF0">
      <w:numFmt w:val="bullet"/>
      <w:lvlText w:val="•"/>
      <w:lvlJc w:val="left"/>
      <w:pPr>
        <w:ind w:left="108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C36B16"/>
    <w:multiLevelType w:val="multilevel"/>
    <w:tmpl w:val="D3FC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2212617">
    <w:abstractNumId w:val="6"/>
  </w:num>
  <w:num w:numId="2" w16cid:durableId="1931502979">
    <w:abstractNumId w:val="14"/>
  </w:num>
  <w:num w:numId="3" w16cid:durableId="214971447">
    <w:abstractNumId w:val="8"/>
  </w:num>
  <w:num w:numId="4" w16cid:durableId="1589147117">
    <w:abstractNumId w:val="24"/>
  </w:num>
  <w:num w:numId="5" w16cid:durableId="1406879001">
    <w:abstractNumId w:val="28"/>
  </w:num>
  <w:num w:numId="6" w16cid:durableId="191262082">
    <w:abstractNumId w:val="23"/>
  </w:num>
  <w:num w:numId="7" w16cid:durableId="1841384330">
    <w:abstractNumId w:val="4"/>
  </w:num>
  <w:num w:numId="8" w16cid:durableId="1635481095">
    <w:abstractNumId w:val="15"/>
  </w:num>
  <w:num w:numId="9" w16cid:durableId="1579175038">
    <w:abstractNumId w:val="25"/>
  </w:num>
  <w:num w:numId="10" w16cid:durableId="660741181">
    <w:abstractNumId w:val="0"/>
  </w:num>
  <w:num w:numId="11" w16cid:durableId="1881474564">
    <w:abstractNumId w:val="26"/>
  </w:num>
  <w:num w:numId="12" w16cid:durableId="1401054220">
    <w:abstractNumId w:val="33"/>
  </w:num>
  <w:num w:numId="13" w16cid:durableId="1120612949">
    <w:abstractNumId w:val="5"/>
  </w:num>
  <w:num w:numId="14" w16cid:durableId="337316808">
    <w:abstractNumId w:val="19"/>
  </w:num>
  <w:num w:numId="15" w16cid:durableId="1082528916">
    <w:abstractNumId w:val="13"/>
  </w:num>
  <w:num w:numId="16" w16cid:durableId="1016351813">
    <w:abstractNumId w:val="27"/>
  </w:num>
  <w:num w:numId="17" w16cid:durableId="302929308">
    <w:abstractNumId w:val="34"/>
  </w:num>
  <w:num w:numId="18" w16cid:durableId="628819608">
    <w:abstractNumId w:val="9"/>
  </w:num>
  <w:num w:numId="19" w16cid:durableId="1198471789">
    <w:abstractNumId w:val="17"/>
  </w:num>
  <w:num w:numId="20" w16cid:durableId="934947197">
    <w:abstractNumId w:val="31"/>
  </w:num>
  <w:num w:numId="21" w16cid:durableId="1364132019">
    <w:abstractNumId w:val="2"/>
  </w:num>
  <w:num w:numId="22" w16cid:durableId="1028331428">
    <w:abstractNumId w:val="12"/>
  </w:num>
  <w:num w:numId="23" w16cid:durableId="1158570733">
    <w:abstractNumId w:val="30"/>
  </w:num>
  <w:num w:numId="24" w16cid:durableId="1564876125">
    <w:abstractNumId w:val="18"/>
  </w:num>
  <w:num w:numId="25" w16cid:durableId="624847717">
    <w:abstractNumId w:val="11"/>
  </w:num>
  <w:num w:numId="26" w16cid:durableId="2118865639">
    <w:abstractNumId w:val="35"/>
  </w:num>
  <w:num w:numId="27" w16cid:durableId="1213351142">
    <w:abstractNumId w:val="20"/>
  </w:num>
  <w:num w:numId="28" w16cid:durableId="1724134597">
    <w:abstractNumId w:val="29"/>
  </w:num>
  <w:num w:numId="29" w16cid:durableId="532380781">
    <w:abstractNumId w:val="7"/>
  </w:num>
  <w:num w:numId="30" w16cid:durableId="2138254099">
    <w:abstractNumId w:val="21"/>
  </w:num>
  <w:num w:numId="31" w16cid:durableId="1750232087">
    <w:abstractNumId w:val="3"/>
  </w:num>
  <w:num w:numId="32" w16cid:durableId="864170628">
    <w:abstractNumId w:val="32"/>
  </w:num>
  <w:num w:numId="33" w16cid:durableId="473372991">
    <w:abstractNumId w:val="16"/>
  </w:num>
  <w:num w:numId="34" w16cid:durableId="549459303">
    <w:abstractNumId w:val="1"/>
  </w:num>
  <w:num w:numId="35" w16cid:durableId="1495104370">
    <w:abstractNumId w:val="10"/>
  </w:num>
  <w:num w:numId="36" w16cid:durableId="996104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362C"/>
    <w:rsid w:val="00052CE7"/>
    <w:rsid w:val="000601B4"/>
    <w:rsid w:val="00060B42"/>
    <w:rsid w:val="00075B27"/>
    <w:rsid w:val="00084788"/>
    <w:rsid w:val="00091F8C"/>
    <w:rsid w:val="000A5417"/>
    <w:rsid w:val="000C0036"/>
    <w:rsid w:val="000D4B31"/>
    <w:rsid w:val="00104010"/>
    <w:rsid w:val="0011679F"/>
    <w:rsid w:val="001317CB"/>
    <w:rsid w:val="00155CFD"/>
    <w:rsid w:val="00176135"/>
    <w:rsid w:val="001936B5"/>
    <w:rsid w:val="001A108C"/>
    <w:rsid w:val="001A10A1"/>
    <w:rsid w:val="001A1EB0"/>
    <w:rsid w:val="001D1E01"/>
    <w:rsid w:val="001E1037"/>
    <w:rsid w:val="001F04DD"/>
    <w:rsid w:val="002133B4"/>
    <w:rsid w:val="002138DF"/>
    <w:rsid w:val="002239AC"/>
    <w:rsid w:val="002246E2"/>
    <w:rsid w:val="00225021"/>
    <w:rsid w:val="00233E04"/>
    <w:rsid w:val="0023454F"/>
    <w:rsid w:val="0025506D"/>
    <w:rsid w:val="00256D9F"/>
    <w:rsid w:val="002736F4"/>
    <w:rsid w:val="00296385"/>
    <w:rsid w:val="003003A5"/>
    <w:rsid w:val="00305376"/>
    <w:rsid w:val="003337A4"/>
    <w:rsid w:val="0035124D"/>
    <w:rsid w:val="003749D5"/>
    <w:rsid w:val="00386A28"/>
    <w:rsid w:val="0039294B"/>
    <w:rsid w:val="003E42A7"/>
    <w:rsid w:val="003F045D"/>
    <w:rsid w:val="0043588A"/>
    <w:rsid w:val="004401FB"/>
    <w:rsid w:val="00451688"/>
    <w:rsid w:val="004D3F26"/>
    <w:rsid w:val="004D5B18"/>
    <w:rsid w:val="004F63C4"/>
    <w:rsid w:val="00501CF7"/>
    <w:rsid w:val="00507513"/>
    <w:rsid w:val="00516C49"/>
    <w:rsid w:val="005235C0"/>
    <w:rsid w:val="00533AC2"/>
    <w:rsid w:val="0054082C"/>
    <w:rsid w:val="00563E28"/>
    <w:rsid w:val="00565820"/>
    <w:rsid w:val="00584F3D"/>
    <w:rsid w:val="00594C7E"/>
    <w:rsid w:val="00595AF5"/>
    <w:rsid w:val="00596901"/>
    <w:rsid w:val="005C34A2"/>
    <w:rsid w:val="005C6E7F"/>
    <w:rsid w:val="005D0581"/>
    <w:rsid w:val="005E5182"/>
    <w:rsid w:val="00635A7B"/>
    <w:rsid w:val="00675D87"/>
    <w:rsid w:val="006914BB"/>
    <w:rsid w:val="006A087A"/>
    <w:rsid w:val="006A3AAD"/>
    <w:rsid w:val="006C14AD"/>
    <w:rsid w:val="006C2A54"/>
    <w:rsid w:val="006C6524"/>
    <w:rsid w:val="006D4030"/>
    <w:rsid w:val="006D6D6D"/>
    <w:rsid w:val="006F349F"/>
    <w:rsid w:val="007152E0"/>
    <w:rsid w:val="0074322D"/>
    <w:rsid w:val="00764256"/>
    <w:rsid w:val="00766E39"/>
    <w:rsid w:val="00775B29"/>
    <w:rsid w:val="007C346B"/>
    <w:rsid w:val="007D0FB7"/>
    <w:rsid w:val="007E670C"/>
    <w:rsid w:val="008027CC"/>
    <w:rsid w:val="008208AC"/>
    <w:rsid w:val="00822291"/>
    <w:rsid w:val="008503C4"/>
    <w:rsid w:val="00860FA2"/>
    <w:rsid w:val="0086695B"/>
    <w:rsid w:val="00870288"/>
    <w:rsid w:val="008743BF"/>
    <w:rsid w:val="008D17E6"/>
    <w:rsid w:val="008D4BA1"/>
    <w:rsid w:val="008E32E6"/>
    <w:rsid w:val="008F1397"/>
    <w:rsid w:val="008F5503"/>
    <w:rsid w:val="00904AA3"/>
    <w:rsid w:val="0094711B"/>
    <w:rsid w:val="0096260E"/>
    <w:rsid w:val="009740B2"/>
    <w:rsid w:val="00981B4A"/>
    <w:rsid w:val="00984BB6"/>
    <w:rsid w:val="009A3BC4"/>
    <w:rsid w:val="009B4F7C"/>
    <w:rsid w:val="009F5381"/>
    <w:rsid w:val="00A03E45"/>
    <w:rsid w:val="00A37B17"/>
    <w:rsid w:val="00A44CC8"/>
    <w:rsid w:val="00A52C14"/>
    <w:rsid w:val="00A7269D"/>
    <w:rsid w:val="00A773C4"/>
    <w:rsid w:val="00A9180A"/>
    <w:rsid w:val="00AA4A84"/>
    <w:rsid w:val="00AE5584"/>
    <w:rsid w:val="00AF0EA6"/>
    <w:rsid w:val="00AF18F5"/>
    <w:rsid w:val="00AF7D41"/>
    <w:rsid w:val="00B21864"/>
    <w:rsid w:val="00B667D3"/>
    <w:rsid w:val="00B86123"/>
    <w:rsid w:val="00BA3225"/>
    <w:rsid w:val="00BC751C"/>
    <w:rsid w:val="00BF4668"/>
    <w:rsid w:val="00BF5748"/>
    <w:rsid w:val="00BF7EE9"/>
    <w:rsid w:val="00C050DE"/>
    <w:rsid w:val="00C27555"/>
    <w:rsid w:val="00C43317"/>
    <w:rsid w:val="00C470DD"/>
    <w:rsid w:val="00C60040"/>
    <w:rsid w:val="00C82F61"/>
    <w:rsid w:val="00C83700"/>
    <w:rsid w:val="00C919F3"/>
    <w:rsid w:val="00C9211E"/>
    <w:rsid w:val="00CA3ECA"/>
    <w:rsid w:val="00CC0806"/>
    <w:rsid w:val="00CE23AC"/>
    <w:rsid w:val="00D5025B"/>
    <w:rsid w:val="00D524E1"/>
    <w:rsid w:val="00E06EB6"/>
    <w:rsid w:val="00E129C1"/>
    <w:rsid w:val="00E671B2"/>
    <w:rsid w:val="00E841AE"/>
    <w:rsid w:val="00EA3A0C"/>
    <w:rsid w:val="00EF39CC"/>
    <w:rsid w:val="00F166B0"/>
    <w:rsid w:val="00F84695"/>
    <w:rsid w:val="00FA2BD6"/>
    <w:rsid w:val="00FA415F"/>
    <w:rsid w:val="00FB3137"/>
    <w:rsid w:val="00FB4083"/>
    <w:rsid w:val="00FC7A84"/>
    <w:rsid w:val="00FD1CCD"/>
    <w:rsid w:val="00FF0519"/>
    <w:rsid w:val="05EF8053"/>
    <w:rsid w:val="0AFCF5CF"/>
    <w:rsid w:val="0BB72717"/>
    <w:rsid w:val="0E5F3D78"/>
    <w:rsid w:val="285F800C"/>
    <w:rsid w:val="450EE053"/>
    <w:rsid w:val="55A0B2EF"/>
    <w:rsid w:val="65E4F7E6"/>
    <w:rsid w:val="69D3D631"/>
    <w:rsid w:val="704A5D8A"/>
    <w:rsid w:val="78F28CC8"/>
    <w:rsid w:val="7936A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269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269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726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F11A3-1AAB-415A-89A5-54D49363BE4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278f88cb-95a4-4eac-a44d-244277360b2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fb0e6e-4971-4ded-bd1b-5504d72d674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Daniels</dc:creator>
  <keywords/>
  <dc:description/>
  <lastModifiedBy>Angela Denner-Mawer</lastModifiedBy>
  <revision>4</revision>
  <dcterms:created xsi:type="dcterms:W3CDTF">2025-06-09T20:25:00.0000000Z</dcterms:created>
  <dcterms:modified xsi:type="dcterms:W3CDTF">2025-06-12T10:12:09.7791407Z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