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B1A7" w14:textId="16FE664B" w:rsidR="00A7269D" w:rsidRPr="00A7269D" w:rsidRDefault="00860FA2" w:rsidP="00A7269D">
      <w:pPr>
        <w:spacing w:after="20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A7269D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9264" behindDoc="1" locked="0" layoutInCell="1" allowOverlap="1" wp14:anchorId="242CE079" wp14:editId="3A9D5EFF">
            <wp:simplePos x="0" y="0"/>
            <wp:positionH relativeFrom="column">
              <wp:posOffset>5143500</wp:posOffset>
            </wp:positionH>
            <wp:positionV relativeFrom="paragraph">
              <wp:posOffset>0</wp:posOffset>
            </wp:positionV>
            <wp:extent cx="822960" cy="965200"/>
            <wp:effectExtent l="0" t="0" r="0" b="6350"/>
            <wp:wrapTight wrapText="bothSides">
              <wp:wrapPolygon edited="0">
                <wp:start x="0" y="0"/>
                <wp:lineTo x="0" y="21316"/>
                <wp:lineTo x="21000" y="21316"/>
                <wp:lineTo x="21000" y="0"/>
                <wp:lineTo x="0" y="0"/>
              </wp:wrapPolygon>
            </wp:wrapTight>
            <wp:docPr id="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1168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9"/>
      </w:tblGrid>
      <w:tr w:rsidR="00860FA2" w:rsidRPr="00A7269D" w14:paraId="39F6FE11" w14:textId="77777777" w:rsidTr="00BC015E">
        <w:trPr>
          <w:trHeight w:val="841"/>
        </w:trPr>
        <w:tc>
          <w:tcPr>
            <w:tcW w:w="10349" w:type="dxa"/>
          </w:tcPr>
          <w:p w14:paraId="1793D0F1" w14:textId="1AD793AB" w:rsidR="00860FA2" w:rsidRPr="001A1EB0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1A1EB0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Job Title: </w:t>
            </w:r>
            <w:r w:rsidR="001936B5" w:rsidRPr="001A1E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260E" w:rsidRPr="001A1E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05F5">
              <w:rPr>
                <w:rFonts w:ascii="Arial" w:hAnsi="Arial" w:cs="Arial"/>
                <w:sz w:val="20"/>
                <w:szCs w:val="20"/>
              </w:rPr>
              <w:t xml:space="preserve">Head of Marketing Attraction </w:t>
            </w:r>
            <w:r w:rsidR="004B4419">
              <w:rPr>
                <w:rFonts w:ascii="Arial" w:hAnsi="Arial" w:cs="Arial"/>
                <w:sz w:val="20"/>
                <w:szCs w:val="20"/>
              </w:rPr>
              <w:t>&amp;</w:t>
            </w:r>
            <w:r w:rsidR="003805F5">
              <w:rPr>
                <w:rFonts w:ascii="Arial" w:hAnsi="Arial" w:cs="Arial"/>
                <w:sz w:val="20"/>
                <w:szCs w:val="20"/>
              </w:rPr>
              <w:t xml:space="preserve"> Insights</w:t>
            </w:r>
          </w:p>
          <w:p w14:paraId="1CC374BC" w14:textId="11F45CB2" w:rsidR="00860FA2" w:rsidRPr="001A1EB0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1A1EB0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Reporting to: </w:t>
            </w:r>
            <w:r w:rsidR="006A3AAD" w:rsidRPr="001A1E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05F5">
              <w:rPr>
                <w:rFonts w:ascii="Arial" w:hAnsi="Arial" w:cs="Arial"/>
                <w:sz w:val="20"/>
                <w:szCs w:val="20"/>
              </w:rPr>
              <w:t xml:space="preserve">Director of Marketing, Communications </w:t>
            </w:r>
            <w:r w:rsidR="004B4419">
              <w:rPr>
                <w:rFonts w:ascii="Arial" w:hAnsi="Arial" w:cs="Arial"/>
                <w:sz w:val="20"/>
                <w:szCs w:val="20"/>
              </w:rPr>
              <w:t>&amp;</w:t>
            </w:r>
            <w:r w:rsidR="003805F5">
              <w:rPr>
                <w:rFonts w:ascii="Arial" w:hAnsi="Arial" w:cs="Arial"/>
                <w:sz w:val="20"/>
                <w:szCs w:val="20"/>
              </w:rPr>
              <w:t xml:space="preserve"> Admissions</w:t>
            </w:r>
          </w:p>
          <w:p w14:paraId="11621935" w14:textId="160BA188" w:rsidR="00860FA2" w:rsidRPr="001A1EB0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1A1EB0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Base</w:t>
            </w:r>
            <w:r w:rsidRPr="001A1EB0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: </w:t>
            </w:r>
            <w:r w:rsidR="003805F5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Hybrid work covering all sites (Base at Ilkeston)</w:t>
            </w:r>
          </w:p>
          <w:p w14:paraId="7B6DAF9C" w14:textId="77777777" w:rsidR="00860FA2" w:rsidRPr="001A1EB0" w:rsidRDefault="00860FA2" w:rsidP="00860FA2">
            <w:pPr>
              <w:tabs>
                <w:tab w:val="left" w:pos="4065"/>
              </w:tabs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01489E07" w14:textId="77777777" w:rsidTr="00860FA2">
        <w:tc>
          <w:tcPr>
            <w:tcW w:w="10349" w:type="dxa"/>
          </w:tcPr>
          <w:p w14:paraId="537D9888" w14:textId="21FF14C0" w:rsidR="00860FA2" w:rsidRPr="001A1EB0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1A1EB0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Hours:</w:t>
            </w:r>
            <w:r w:rsidR="003337A4" w:rsidRPr="001A1EB0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="00AA7C72" w:rsidRPr="00BC015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37 hours</w:t>
            </w:r>
            <w:r w:rsidR="00BC015E" w:rsidRPr="00BC015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per week,</w:t>
            </w:r>
            <w:r w:rsidR="00AA7C72" w:rsidRPr="00BC015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52 weeks</w:t>
            </w:r>
            <w:r w:rsidR="00BC015E" w:rsidRPr="00BC015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a year</w:t>
            </w:r>
          </w:p>
          <w:p w14:paraId="145188C1" w14:textId="65110FC8" w:rsidR="00860FA2" w:rsidRPr="001A1EB0" w:rsidRDefault="00860FA2" w:rsidP="00860FA2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1EB0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Contract Type:</w:t>
            </w:r>
            <w:r w:rsidRPr="001A1EB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014ABF" w:rsidRPr="001A1E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7C72">
              <w:rPr>
                <w:rFonts w:ascii="Arial" w:hAnsi="Arial" w:cs="Arial"/>
                <w:sz w:val="20"/>
                <w:szCs w:val="20"/>
              </w:rPr>
              <w:t>Management</w:t>
            </w:r>
          </w:p>
          <w:p w14:paraId="56498F46" w14:textId="77777777" w:rsidR="00AB202D" w:rsidRPr="00AB202D" w:rsidRDefault="00860FA2" w:rsidP="00AB202D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1EB0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Holidays:</w:t>
            </w:r>
            <w:r w:rsidRPr="001A1EB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AB202D" w:rsidRPr="00AB202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49 days holiday (inclusive of 8 bank holidays and 6 closure days where these occur)</w:t>
            </w:r>
          </w:p>
          <w:p w14:paraId="2FD66AC0" w14:textId="5F0A538F" w:rsidR="00860FA2" w:rsidRDefault="00860FA2" w:rsidP="00E841AE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1A1EB0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Salary: </w:t>
            </w:r>
            <w:r w:rsidR="001A1EB0" w:rsidRPr="001A1EB0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£</w:t>
            </w:r>
            <w:r w:rsidR="003805F5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48,000</w:t>
            </w:r>
            <w:r w:rsidR="00BC015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per annum</w:t>
            </w:r>
          </w:p>
          <w:p w14:paraId="43CF42F6" w14:textId="1607E832" w:rsidR="00386A28" w:rsidRPr="001A1EB0" w:rsidRDefault="00386A28" w:rsidP="00E841AE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6568F130" w14:textId="77777777" w:rsidTr="00860FA2">
        <w:tc>
          <w:tcPr>
            <w:tcW w:w="10349" w:type="dxa"/>
          </w:tcPr>
          <w:p w14:paraId="2FE7A045" w14:textId="285349B2" w:rsidR="001D1E01" w:rsidRPr="00C25293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5293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Job Purpose </w:t>
            </w:r>
          </w:p>
          <w:p w14:paraId="7BDCEC7A" w14:textId="24DC1FB0" w:rsidR="00860FA2" w:rsidRPr="00C25293" w:rsidRDefault="003805F5" w:rsidP="00EB2CFF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C25293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Working closely with the Director of Marketing</w:t>
            </w:r>
            <w:r w:rsidR="004B4419" w:rsidRPr="00C25293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, Communications and Admissions</w:t>
            </w:r>
            <w:r w:rsidRPr="00C25293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, </w:t>
            </w:r>
            <w:r w:rsidR="00EB2CFF" w:rsidRPr="00C25293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this role is responsible for overseeing data collection, analysis and reporting related to marketing and admissions activities.  Typically involving developing and implementing data-driven strategies to improve marketing campaigns, enhance the student recruitment process, gain insights into student demographics and preferences.</w:t>
            </w:r>
          </w:p>
        </w:tc>
      </w:tr>
      <w:tr w:rsidR="00860FA2" w:rsidRPr="00A7269D" w14:paraId="45E1B421" w14:textId="77777777" w:rsidTr="00860FA2">
        <w:tc>
          <w:tcPr>
            <w:tcW w:w="10349" w:type="dxa"/>
          </w:tcPr>
          <w:p w14:paraId="05F9BBCC" w14:textId="77777777" w:rsidR="00860FA2" w:rsidRPr="00C25293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5293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Key Responsibilities </w:t>
            </w:r>
          </w:p>
          <w:p w14:paraId="3E2B8D95" w14:textId="0B64A105" w:rsidR="004B4419" w:rsidRPr="00816ED8" w:rsidRDefault="004B4419" w:rsidP="00D36F9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To deputise for the Director of Marketing, Communications and Admissions as required</w:t>
            </w:r>
          </w:p>
          <w:p w14:paraId="3A38F642" w14:textId="6D202DFB" w:rsidR="000B303A" w:rsidRPr="00816ED8" w:rsidRDefault="000B303A" w:rsidP="00D36F9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Data Collection and Management – Gathering and managing data related to marketing and communication campaigns, </w:t>
            </w:r>
            <w:r w:rsidR="00B44857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events, </w:t>
            </w:r>
            <w:r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school activity, admissions applications and student records</w:t>
            </w:r>
          </w:p>
          <w:p w14:paraId="1DC39BBC" w14:textId="0B704411" w:rsidR="00797D5E" w:rsidRPr="00816ED8" w:rsidRDefault="00797D5E" w:rsidP="00D36F9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Data Analysis and Interpretation</w:t>
            </w:r>
            <w:r w:rsidR="0075345C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– Analysing trends, patterns and insights related to marketing effectiveness, recruitment </w:t>
            </w:r>
            <w:r w:rsidR="00B057E1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success and student demographics</w:t>
            </w:r>
          </w:p>
          <w:p w14:paraId="4A973408" w14:textId="0A7F0E07" w:rsidR="00B057E1" w:rsidRPr="00816ED8" w:rsidRDefault="00B057E1" w:rsidP="00D36F9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Reporting and Communication – Creating reports and presentations that communicate data insights to stakeholders</w:t>
            </w:r>
            <w:r w:rsidR="007B1423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, including marketing teams, admissions</w:t>
            </w:r>
            <w:r w:rsidR="002803E6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teams</w:t>
            </w:r>
            <w:r w:rsidR="00095833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, curriculum</w:t>
            </w:r>
            <w:r w:rsidR="002803E6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teams</w:t>
            </w:r>
            <w:r w:rsidR="007B1423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and senior leadership</w:t>
            </w:r>
          </w:p>
          <w:p w14:paraId="67FCAABE" w14:textId="7474DE10" w:rsidR="007B1423" w:rsidRPr="00816ED8" w:rsidRDefault="007B1423" w:rsidP="00D36F9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Strategic Planning </w:t>
            </w:r>
            <w:r w:rsidR="005B059B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–</w:t>
            </w:r>
            <w:r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Developing</w:t>
            </w:r>
            <w:r w:rsidR="005B059B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and implementing data-driven strategies to improve marketing and admissions processes such as targeting specific student populations or </w:t>
            </w:r>
            <w:r w:rsidR="006575D1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optimising</w:t>
            </w:r>
            <w:r w:rsidR="005B059B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marketing campaigns</w:t>
            </w:r>
          </w:p>
          <w:p w14:paraId="492C58AB" w14:textId="504EF681" w:rsidR="006575D1" w:rsidRPr="00816ED8" w:rsidRDefault="006575D1" w:rsidP="00D36F9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System Development and Maintenance – overseeing the development</w:t>
            </w:r>
            <w:r w:rsidR="002A2360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and maintenance of data systems in the area and tools </w:t>
            </w:r>
            <w:r w:rsidR="00901331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used for</w:t>
            </w:r>
            <w:r w:rsidR="002A2360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data collection, analysis and reporting</w:t>
            </w:r>
          </w:p>
          <w:p w14:paraId="7C3A5BDE" w14:textId="7AB1E9A5" w:rsidR="002A2360" w:rsidRPr="00816ED8" w:rsidRDefault="001474E4" w:rsidP="00D36F9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Collaboration – working </w:t>
            </w:r>
            <w:r w:rsidR="00901331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with marketing</w:t>
            </w:r>
            <w:r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and admissions teams </w:t>
            </w:r>
            <w:r w:rsidR="002803E6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together with </w:t>
            </w:r>
            <w:r w:rsidR="00243A38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the wider curriculum teams </w:t>
            </w:r>
            <w:r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to ensure data is used effectively to </w:t>
            </w:r>
            <w:r w:rsidR="00901331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achieve</w:t>
            </w:r>
            <w:r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organisational </w:t>
            </w:r>
            <w:r w:rsidR="00901331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goals</w:t>
            </w:r>
          </w:p>
          <w:p w14:paraId="3ACDCCA3" w14:textId="37D3CDE1" w:rsidR="00901331" w:rsidRPr="00816ED8" w:rsidRDefault="00901331" w:rsidP="00D36F9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Performance Monitoring – tracking key performance indicators (KPIs) related to marketing and admissions to assess the effectiveness of data-driven strategies</w:t>
            </w:r>
            <w:r w:rsidR="004E3108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across the </w:t>
            </w:r>
            <w:r w:rsidR="00422FDD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marketing funnel.</w:t>
            </w:r>
          </w:p>
          <w:p w14:paraId="4F9798A0" w14:textId="28DDA69C" w:rsidR="00901331" w:rsidRPr="00816ED8" w:rsidRDefault="00EB34FE" w:rsidP="00D36F9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Admissions support – </w:t>
            </w:r>
            <w:r w:rsidR="00B0092D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providing insights</w:t>
            </w:r>
            <w:r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to assist with the admissions process, such as identifying successful recruitment strategies and optimise the student applicant pool.</w:t>
            </w:r>
          </w:p>
          <w:p w14:paraId="208772EC" w14:textId="0EBEE97B" w:rsidR="00DE60A4" w:rsidRPr="00816ED8" w:rsidRDefault="00DE60A4" w:rsidP="00D36F9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Marketing Campaign Optimisation </w:t>
            </w:r>
            <w:r w:rsidR="008C7661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–</w:t>
            </w:r>
            <w:r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8C7661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Using data to optimise marketing campaigns such as </w:t>
            </w:r>
            <w:r w:rsidR="00A67E99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optimising</w:t>
            </w:r>
            <w:r w:rsidR="008C7661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targeting, message testing</w:t>
            </w:r>
            <w:r w:rsidR="00A67E99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, channel mix and channel selection</w:t>
            </w:r>
            <w:r w:rsidR="00B0092D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to </w:t>
            </w:r>
            <w:r w:rsidR="00A67E99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deliver budgeted volume with an improving cost per acquisition</w:t>
            </w:r>
          </w:p>
          <w:p w14:paraId="33778287" w14:textId="75AB8EA8" w:rsidR="00291FE3" w:rsidRPr="00816ED8" w:rsidRDefault="00291FE3" w:rsidP="00291FE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Establishing an end-to-end view of the customer funnel, from</w:t>
            </w:r>
            <w:r w:rsidR="0026590E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traditional marketing</w:t>
            </w:r>
            <w:r w:rsidR="00195E14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and</w:t>
            </w:r>
            <w:r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paid media to website performance and conversion to enrolment.  Highlighting areas of friction and specific points in the journey that present the opportunity for improved performance.</w:t>
            </w:r>
          </w:p>
          <w:p w14:paraId="33DF8F41" w14:textId="779A0F2F" w:rsidR="008C7661" w:rsidRPr="00816ED8" w:rsidRDefault="008C7661" w:rsidP="00D36F9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Student </w:t>
            </w:r>
            <w:r w:rsidR="00100D6C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Recruitment</w:t>
            </w:r>
            <w:r w:rsidR="00374623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– using data to identify and target potential students, optimise recruitment strategies and track </w:t>
            </w:r>
            <w:r w:rsidR="00CF631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applicants through the </w:t>
            </w:r>
            <w:r w:rsidR="00374623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recruitment </w:t>
            </w:r>
            <w:r w:rsidR="00CF631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process</w:t>
            </w:r>
            <w:r w:rsidR="00374623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.</w:t>
            </w:r>
          </w:p>
          <w:p w14:paraId="24AEE2C5" w14:textId="14535CAD" w:rsidR="00793DF2" w:rsidRPr="00816ED8" w:rsidRDefault="00793DF2" w:rsidP="00D36F9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Proactively build and maintain the data flows working with key stakeholders</w:t>
            </w:r>
            <w:r w:rsidR="00E95A62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across the college</w:t>
            </w:r>
            <w:r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to track and measure business performance through useable MI, highlighting potential problems and recommend potential solutions.</w:t>
            </w:r>
          </w:p>
          <w:p w14:paraId="70516CB5" w14:textId="1290E179" w:rsidR="00793DF2" w:rsidRPr="00816ED8" w:rsidRDefault="002E0581" w:rsidP="00D36F9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Collaborate with Web Development t</w:t>
            </w:r>
            <w:r w:rsidR="00D36F92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eam,</w:t>
            </w:r>
            <w:r w:rsidR="00AA7C72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Head of Reporting and</w:t>
            </w:r>
            <w:r w:rsidR="00D36F92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793DF2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Head of</w:t>
            </w:r>
            <w:r w:rsidR="00AA7C72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Funding, MIS and Exams</w:t>
            </w:r>
            <w:r w:rsidR="00793DF2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to</w:t>
            </w:r>
            <w:r w:rsidR="00D36F92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develop automation of reporting and resolve technical issues identified problems efficiently.</w:t>
            </w:r>
            <w:r w:rsidR="00793DF2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24FCD24F" w14:textId="4443B636" w:rsidR="002E0581" w:rsidRPr="00816ED8" w:rsidRDefault="002E0581" w:rsidP="00D36F9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Effectively communicate your recommendations for change to key </w:t>
            </w:r>
            <w:r w:rsidR="00D36F92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stakeholders</w:t>
            </w:r>
            <w:r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and demonstrate how value can be added or improved if changes are adopted.</w:t>
            </w:r>
          </w:p>
          <w:p w14:paraId="2F6C1B97" w14:textId="4EE4BC57" w:rsidR="002E0581" w:rsidRPr="00816ED8" w:rsidRDefault="002E0581" w:rsidP="00D36F9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Lead or support with projects and implement changes to systems and processes that improve the integration of data into </w:t>
            </w:r>
            <w:r w:rsidR="00D36F92"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marketing decision</w:t>
            </w:r>
            <w:r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making.</w:t>
            </w:r>
          </w:p>
          <w:p w14:paraId="2BF8B5A2" w14:textId="59F4EBB7" w:rsidR="00D36F92" w:rsidRPr="00816ED8" w:rsidRDefault="00D36F92" w:rsidP="00D36F9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16ED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Adopt and promote a continuous improvement approach by working with the teams to carry out regular reviews of systems and processes to identify opportunities for further improvements.</w:t>
            </w:r>
          </w:p>
          <w:p w14:paraId="078CF6B8" w14:textId="77777777" w:rsidR="00860FA2" w:rsidRPr="00C25293" w:rsidRDefault="00860FA2" w:rsidP="005D0581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6186622F" w14:textId="77777777" w:rsidTr="00860FA2">
        <w:tc>
          <w:tcPr>
            <w:tcW w:w="10349" w:type="dxa"/>
          </w:tcPr>
          <w:p w14:paraId="7EC8342B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lastRenderedPageBreak/>
              <w:t xml:space="preserve">Person Specification </w:t>
            </w:r>
          </w:p>
        </w:tc>
      </w:tr>
      <w:tr w:rsidR="00860FA2" w:rsidRPr="00A7269D" w14:paraId="4DDD2B6A" w14:textId="77777777" w:rsidTr="00860FA2">
        <w:tc>
          <w:tcPr>
            <w:tcW w:w="10349" w:type="dxa"/>
          </w:tcPr>
          <w:p w14:paraId="7B719BFB" w14:textId="77777777" w:rsid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Competencies</w:t>
            </w:r>
          </w:p>
          <w:p w14:paraId="1C27941D" w14:textId="77777777" w:rsidR="00B21864" w:rsidRDefault="00B21864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6F4D7F09" w14:textId="77777777" w:rsidR="00B21864" w:rsidRDefault="00B21864" w:rsidP="00B21864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21864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Essential</w:t>
            </w:r>
          </w:p>
          <w:p w14:paraId="1562BDB9" w14:textId="0B658109" w:rsidR="00486EAB" w:rsidRPr="00BC015E" w:rsidRDefault="00B87487" w:rsidP="00BC015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BC015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Proficiency in statistical analysis</w:t>
            </w:r>
          </w:p>
          <w:p w14:paraId="5EB2693B" w14:textId="699C8E9C" w:rsidR="00D36F92" w:rsidRPr="00BC015E" w:rsidRDefault="00D36F92" w:rsidP="00BC015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BC015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Able to spot trends and insights from data to tell the overall story</w:t>
            </w:r>
          </w:p>
          <w:p w14:paraId="0B6E6770" w14:textId="45321020" w:rsidR="00AA7C72" w:rsidRPr="00BC015E" w:rsidRDefault="00AA7C72" w:rsidP="00BC015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BC015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Strong commercial awareness and understanding</w:t>
            </w:r>
          </w:p>
          <w:p w14:paraId="4A82D820" w14:textId="42996161" w:rsidR="00AA7C72" w:rsidRPr="00BC015E" w:rsidRDefault="00AA7C72" w:rsidP="00BC015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BC015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Highly numerate and confidence </w:t>
            </w:r>
            <w:r w:rsidR="00EB2CFF" w:rsidRPr="00BC015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working with</w:t>
            </w:r>
            <w:r w:rsidRPr="00BC015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large amounts of complex data and experienced in statistical analysis techniques</w:t>
            </w:r>
          </w:p>
          <w:p w14:paraId="744E4989" w14:textId="60BCFDB5" w:rsidR="00AA7C72" w:rsidRPr="00BC015E" w:rsidRDefault="00AA7C72" w:rsidP="00BC015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BC015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Excellent communication and interpersonal skills – able to explain </w:t>
            </w:r>
            <w:r w:rsidR="00EB2CFF" w:rsidRPr="00BC015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complex</w:t>
            </w:r>
            <w:r w:rsidRPr="00BC015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information in a simple, easy to understand way</w:t>
            </w:r>
          </w:p>
          <w:p w14:paraId="2CF46CA3" w14:textId="3EF8F268" w:rsidR="00F44E63" w:rsidRPr="00BC015E" w:rsidRDefault="00F44E63" w:rsidP="00BC015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BC015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Must be able to </w:t>
            </w:r>
            <w:r w:rsidR="00E22E1C" w:rsidRPr="00BC015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travel / access all sites</w:t>
            </w:r>
          </w:p>
          <w:p w14:paraId="3CA050D7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523B5A94" w14:textId="57220725" w:rsidR="002736F4" w:rsidRDefault="00860FA2" w:rsidP="002736F4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Desirable </w:t>
            </w:r>
          </w:p>
          <w:p w14:paraId="6E928139" w14:textId="172507D4" w:rsidR="004E2C82" w:rsidRPr="00BC015E" w:rsidRDefault="004E2C82" w:rsidP="00BC015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BC015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Project Management</w:t>
            </w:r>
          </w:p>
          <w:p w14:paraId="611AE083" w14:textId="77777777" w:rsidR="002736F4" w:rsidRPr="004E2C82" w:rsidRDefault="002736F4" w:rsidP="002736F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6D4A138E" w14:textId="77777777" w:rsidR="00B21864" w:rsidRPr="00233E04" w:rsidRDefault="00B21864" w:rsidP="00233E04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01ED74C0" w14:textId="77777777" w:rsidTr="00860FA2">
        <w:tc>
          <w:tcPr>
            <w:tcW w:w="10349" w:type="dxa"/>
          </w:tcPr>
          <w:p w14:paraId="38D77306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Knowledge &amp; Experience </w:t>
            </w:r>
          </w:p>
          <w:p w14:paraId="3C648E23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78ADB033" w14:textId="77777777" w:rsid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Essential</w:t>
            </w:r>
          </w:p>
          <w:p w14:paraId="7A50A20F" w14:textId="77777777" w:rsidR="000006C4" w:rsidRDefault="000006C4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3A2C54FF" w14:textId="2F28F0C0" w:rsidR="00D36F92" w:rsidRPr="00BC015E" w:rsidRDefault="00D36F92" w:rsidP="00BC015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BC015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Experience as a Marketing Data Analyst with a history of working in D-2-C business with paid-for media acquisition channels.</w:t>
            </w:r>
          </w:p>
          <w:p w14:paraId="4B18A5EB" w14:textId="72A0D9F7" w:rsidR="00AA7C72" w:rsidRPr="00BC015E" w:rsidRDefault="001F68F8" w:rsidP="00BC015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BC015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Experience </w:t>
            </w:r>
            <w:r w:rsidR="00AA7C72" w:rsidRPr="00BC015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in the use of analytical tools and systems</w:t>
            </w:r>
          </w:p>
          <w:p w14:paraId="3A4D8C6A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4C1089F6" w14:textId="77777777" w:rsid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Desirable</w:t>
            </w:r>
          </w:p>
          <w:p w14:paraId="4D3E77D2" w14:textId="54B4AD4A" w:rsidR="00984BB6" w:rsidRPr="00BC015E" w:rsidRDefault="00AA7C72" w:rsidP="00860FA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C015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Experience and knowledge of education </w:t>
            </w:r>
          </w:p>
          <w:p w14:paraId="318978D6" w14:textId="77777777" w:rsidR="00860FA2" w:rsidRPr="00233E04" w:rsidRDefault="00860FA2" w:rsidP="00233E0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56A694CE" w14:textId="77777777" w:rsidTr="00860FA2">
        <w:tc>
          <w:tcPr>
            <w:tcW w:w="10349" w:type="dxa"/>
          </w:tcPr>
          <w:p w14:paraId="0DA49669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Qualifications</w:t>
            </w:r>
          </w:p>
          <w:p w14:paraId="7E2AF782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5166445D" w14:textId="77777777" w:rsid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Essential </w:t>
            </w:r>
          </w:p>
          <w:p w14:paraId="5B5993A7" w14:textId="5E6B308A" w:rsidR="00860FA2" w:rsidRPr="00BC015E" w:rsidRDefault="00AA7C72" w:rsidP="00BC015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BC015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Maths and English Grade 4 or above</w:t>
            </w:r>
          </w:p>
          <w:p w14:paraId="5E438CB4" w14:textId="64706913" w:rsidR="00EB2CFF" w:rsidRPr="00BC015E" w:rsidRDefault="00FA3B79" w:rsidP="00BC015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BC015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De</w:t>
            </w:r>
            <w:r w:rsidR="008C3484" w:rsidRPr="00BC015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gr</w:t>
            </w:r>
            <w:r w:rsidR="000A2F59" w:rsidRPr="00BC015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ee level in related field such as statistics, math, business administration</w:t>
            </w:r>
          </w:p>
          <w:p w14:paraId="0495A20C" w14:textId="77777777" w:rsidR="00AA7C72" w:rsidRPr="00860FA2" w:rsidRDefault="00AA7C7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16824EC7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06C8B3C3" w14:textId="6CC8AA00" w:rsidR="00AA7C7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Desirable: </w:t>
            </w:r>
          </w:p>
          <w:p w14:paraId="4DF782F9" w14:textId="77777777" w:rsidR="00E51DD1" w:rsidRPr="00BC015E" w:rsidRDefault="00EB2CFF" w:rsidP="00BC015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BC015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Professional Marketing Qualification</w:t>
            </w:r>
          </w:p>
          <w:p w14:paraId="46857F25" w14:textId="79779F1A" w:rsidR="00FB08C3" w:rsidRPr="00BC015E" w:rsidRDefault="00FB08C3" w:rsidP="00BC015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BC015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Any </w:t>
            </w:r>
            <w:r w:rsidR="00A910F4" w:rsidRPr="00BC015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on-line</w:t>
            </w:r>
            <w:r w:rsidRPr="00BC015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certificate</w:t>
            </w:r>
            <w:r w:rsidR="00737CE9" w:rsidRPr="00BC015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or course in areas like marketing analytics, data </w:t>
            </w:r>
            <w:r w:rsidR="00A910F4" w:rsidRPr="00BC015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visualisation or</w:t>
            </w:r>
            <w:r w:rsidR="00737CE9" w:rsidRPr="00BC015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specific analytics tools </w:t>
            </w:r>
          </w:p>
          <w:p w14:paraId="594D9B56" w14:textId="089B3991" w:rsidR="00EB2CFF" w:rsidRDefault="00EB2CFF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E63CC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198EBAC7" w14:textId="4B93C9AD" w:rsidR="0028450E" w:rsidRPr="00E63CC4" w:rsidRDefault="0028450E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685E5BDC" w14:textId="77777777" w:rsidR="00860FA2" w:rsidRPr="001317CB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69D2CD92" w14:textId="5DFB1CD9" w:rsidR="001317CB" w:rsidRPr="00233E04" w:rsidRDefault="001317CB" w:rsidP="00233E04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5D95CB56" w14:textId="77777777" w:rsidR="001317CB" w:rsidRPr="00860FA2" w:rsidRDefault="001317CB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6B12125" w14:textId="77777777" w:rsidR="00A7269D" w:rsidRPr="00A7269D" w:rsidRDefault="00A7269D" w:rsidP="00A7269D">
      <w:pPr>
        <w:spacing w:after="20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487AF6BC" w14:textId="77777777" w:rsidR="00FA2BD6" w:rsidRDefault="00FA2BD6"/>
    <w:sectPr w:rsidR="00FA2BD6" w:rsidSect="00860FA2">
      <w:footerReference w:type="default" r:id="rId11"/>
      <w:pgSz w:w="11906" w:h="16838"/>
      <w:pgMar w:top="1440" w:right="1440" w:bottom="1440" w:left="144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59780" w14:textId="77777777" w:rsidR="00544B43" w:rsidRDefault="00544B43" w:rsidP="00860FA2">
      <w:pPr>
        <w:spacing w:after="0" w:line="240" w:lineRule="auto"/>
      </w:pPr>
      <w:r>
        <w:separator/>
      </w:r>
    </w:p>
  </w:endnote>
  <w:endnote w:type="continuationSeparator" w:id="0">
    <w:p w14:paraId="4AD2CD9F" w14:textId="77777777" w:rsidR="00544B43" w:rsidRDefault="00544B43" w:rsidP="0086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F169" w14:textId="542DC2F7" w:rsidR="00BC015E" w:rsidRDefault="00BC015E">
    <w:pPr>
      <w:pStyle w:val="Footer"/>
    </w:pPr>
    <w:r>
      <w:t>Head of Marketing and Attraction Insights – Job Description –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F5BBB" w14:textId="77777777" w:rsidR="00544B43" w:rsidRDefault="00544B43" w:rsidP="00860FA2">
      <w:pPr>
        <w:spacing w:after="0" w:line="240" w:lineRule="auto"/>
      </w:pPr>
      <w:r>
        <w:separator/>
      </w:r>
    </w:p>
  </w:footnote>
  <w:footnote w:type="continuationSeparator" w:id="0">
    <w:p w14:paraId="01BD6C0D" w14:textId="77777777" w:rsidR="00544B43" w:rsidRDefault="00544B43" w:rsidP="00860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6015"/>
    <w:multiLevelType w:val="hybridMultilevel"/>
    <w:tmpl w:val="A59A7280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F7D6D32"/>
    <w:multiLevelType w:val="hybridMultilevel"/>
    <w:tmpl w:val="7B3C4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A30B4"/>
    <w:multiLevelType w:val="hybridMultilevel"/>
    <w:tmpl w:val="0FE894EE"/>
    <w:lvl w:ilvl="0" w:tplc="8946E71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43DE3"/>
    <w:multiLevelType w:val="hybridMultilevel"/>
    <w:tmpl w:val="6CFC81FC"/>
    <w:lvl w:ilvl="0" w:tplc="0F32693C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176C1"/>
    <w:multiLevelType w:val="multilevel"/>
    <w:tmpl w:val="2B62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83E74"/>
    <w:multiLevelType w:val="multilevel"/>
    <w:tmpl w:val="768C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AA4AFB"/>
    <w:multiLevelType w:val="hybridMultilevel"/>
    <w:tmpl w:val="6F22D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463E6"/>
    <w:multiLevelType w:val="multilevel"/>
    <w:tmpl w:val="83B4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5B768F"/>
    <w:multiLevelType w:val="hybridMultilevel"/>
    <w:tmpl w:val="55E4775A"/>
    <w:lvl w:ilvl="0" w:tplc="8946E718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D5359F"/>
    <w:multiLevelType w:val="hybridMultilevel"/>
    <w:tmpl w:val="98987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E0F88"/>
    <w:multiLevelType w:val="hybridMultilevel"/>
    <w:tmpl w:val="32B81A86"/>
    <w:lvl w:ilvl="0" w:tplc="0F32693C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B549B"/>
    <w:multiLevelType w:val="multilevel"/>
    <w:tmpl w:val="280C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E65DB5"/>
    <w:multiLevelType w:val="hybridMultilevel"/>
    <w:tmpl w:val="524CA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257D7"/>
    <w:multiLevelType w:val="hybridMultilevel"/>
    <w:tmpl w:val="4CCEE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85E5B"/>
    <w:multiLevelType w:val="multilevel"/>
    <w:tmpl w:val="14E0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907056"/>
    <w:multiLevelType w:val="hybridMultilevel"/>
    <w:tmpl w:val="B0D46A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1B68A9"/>
    <w:multiLevelType w:val="hybridMultilevel"/>
    <w:tmpl w:val="FA02ACE0"/>
    <w:lvl w:ilvl="0" w:tplc="0F32693C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429BA"/>
    <w:multiLevelType w:val="hybridMultilevel"/>
    <w:tmpl w:val="17CA0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F3E52"/>
    <w:multiLevelType w:val="multilevel"/>
    <w:tmpl w:val="02A6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DC6CEE"/>
    <w:multiLevelType w:val="hybridMultilevel"/>
    <w:tmpl w:val="77183F40"/>
    <w:lvl w:ilvl="0" w:tplc="0F32693C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12617">
    <w:abstractNumId w:val="4"/>
  </w:num>
  <w:num w:numId="2" w16cid:durableId="1931502979">
    <w:abstractNumId w:val="7"/>
  </w:num>
  <w:num w:numId="3" w16cid:durableId="214971447">
    <w:abstractNumId w:val="5"/>
  </w:num>
  <w:num w:numId="4" w16cid:durableId="1589147117">
    <w:abstractNumId w:val="14"/>
  </w:num>
  <w:num w:numId="5" w16cid:durableId="1406879001">
    <w:abstractNumId w:val="18"/>
  </w:num>
  <w:num w:numId="6" w16cid:durableId="191262082">
    <w:abstractNumId w:val="13"/>
  </w:num>
  <w:num w:numId="7" w16cid:durableId="1841384330">
    <w:abstractNumId w:val="2"/>
  </w:num>
  <w:num w:numId="8" w16cid:durableId="1635481095">
    <w:abstractNumId w:val="8"/>
  </w:num>
  <w:num w:numId="9" w16cid:durableId="1579175038">
    <w:abstractNumId w:val="15"/>
  </w:num>
  <w:num w:numId="10" w16cid:durableId="660741181">
    <w:abstractNumId w:val="0"/>
  </w:num>
  <w:num w:numId="11" w16cid:durableId="1881474564">
    <w:abstractNumId w:val="16"/>
  </w:num>
  <w:num w:numId="12" w16cid:durableId="1401054220">
    <w:abstractNumId w:val="19"/>
  </w:num>
  <w:num w:numId="13" w16cid:durableId="1120612949">
    <w:abstractNumId w:val="3"/>
  </w:num>
  <w:num w:numId="14" w16cid:durableId="337316808">
    <w:abstractNumId w:val="10"/>
  </w:num>
  <w:num w:numId="15" w16cid:durableId="1277175601">
    <w:abstractNumId w:val="9"/>
  </w:num>
  <w:num w:numId="16" w16cid:durableId="976880815">
    <w:abstractNumId w:val="17"/>
  </w:num>
  <w:num w:numId="17" w16cid:durableId="737439918">
    <w:abstractNumId w:val="6"/>
  </w:num>
  <w:num w:numId="18" w16cid:durableId="2038701491">
    <w:abstractNumId w:val="1"/>
  </w:num>
  <w:num w:numId="19" w16cid:durableId="1695883881">
    <w:abstractNumId w:val="12"/>
  </w:num>
  <w:num w:numId="20" w16cid:durableId="5002410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9D"/>
    <w:rsid w:val="000006C4"/>
    <w:rsid w:val="00014ABF"/>
    <w:rsid w:val="00022456"/>
    <w:rsid w:val="00084788"/>
    <w:rsid w:val="00095833"/>
    <w:rsid w:val="000A2F59"/>
    <w:rsid w:val="000B303A"/>
    <w:rsid w:val="00100D6C"/>
    <w:rsid w:val="001160CD"/>
    <w:rsid w:val="001317CB"/>
    <w:rsid w:val="001474E4"/>
    <w:rsid w:val="00155CFD"/>
    <w:rsid w:val="001936B5"/>
    <w:rsid w:val="00195E14"/>
    <w:rsid w:val="001A10A1"/>
    <w:rsid w:val="001A1EB0"/>
    <w:rsid w:val="001D1E01"/>
    <w:rsid w:val="001F68F8"/>
    <w:rsid w:val="002138DF"/>
    <w:rsid w:val="00233E04"/>
    <w:rsid w:val="00243A38"/>
    <w:rsid w:val="0026590E"/>
    <w:rsid w:val="002736F4"/>
    <w:rsid w:val="002803E6"/>
    <w:rsid w:val="0028450E"/>
    <w:rsid w:val="00291FE3"/>
    <w:rsid w:val="00296385"/>
    <w:rsid w:val="002A2360"/>
    <w:rsid w:val="002E0581"/>
    <w:rsid w:val="002E37FD"/>
    <w:rsid w:val="003337A4"/>
    <w:rsid w:val="0035124D"/>
    <w:rsid w:val="00374623"/>
    <w:rsid w:val="003805F5"/>
    <w:rsid w:val="00384934"/>
    <w:rsid w:val="00386A28"/>
    <w:rsid w:val="00422FDD"/>
    <w:rsid w:val="00427677"/>
    <w:rsid w:val="004401FB"/>
    <w:rsid w:val="00451688"/>
    <w:rsid w:val="00486EAB"/>
    <w:rsid w:val="004B4419"/>
    <w:rsid w:val="004D5B18"/>
    <w:rsid w:val="004E2C82"/>
    <w:rsid w:val="004E3108"/>
    <w:rsid w:val="00544B43"/>
    <w:rsid w:val="00594C7E"/>
    <w:rsid w:val="005B059B"/>
    <w:rsid w:val="005C6E7F"/>
    <w:rsid w:val="005D0581"/>
    <w:rsid w:val="006575D1"/>
    <w:rsid w:val="00674EED"/>
    <w:rsid w:val="006A3AAD"/>
    <w:rsid w:val="00737CE9"/>
    <w:rsid w:val="00745A3F"/>
    <w:rsid w:val="0075345C"/>
    <w:rsid w:val="00775B29"/>
    <w:rsid w:val="00793DF2"/>
    <w:rsid w:val="00797D5E"/>
    <w:rsid w:val="007B1423"/>
    <w:rsid w:val="007C1FCF"/>
    <w:rsid w:val="00816ED8"/>
    <w:rsid w:val="0085785E"/>
    <w:rsid w:val="00860FA2"/>
    <w:rsid w:val="00866ADC"/>
    <w:rsid w:val="008743BF"/>
    <w:rsid w:val="008C3484"/>
    <w:rsid w:val="008C7661"/>
    <w:rsid w:val="008F5503"/>
    <w:rsid w:val="00901331"/>
    <w:rsid w:val="0096260E"/>
    <w:rsid w:val="00981B4A"/>
    <w:rsid w:val="00984BB6"/>
    <w:rsid w:val="009C49B3"/>
    <w:rsid w:val="00A37B17"/>
    <w:rsid w:val="00A44CC8"/>
    <w:rsid w:val="00A67E99"/>
    <w:rsid w:val="00A7269D"/>
    <w:rsid w:val="00A910F4"/>
    <w:rsid w:val="00AA7C72"/>
    <w:rsid w:val="00AB202D"/>
    <w:rsid w:val="00AF7D41"/>
    <w:rsid w:val="00B0092D"/>
    <w:rsid w:val="00B057E1"/>
    <w:rsid w:val="00B21864"/>
    <w:rsid w:val="00B3710D"/>
    <w:rsid w:val="00B44857"/>
    <w:rsid w:val="00B87487"/>
    <w:rsid w:val="00BC015E"/>
    <w:rsid w:val="00BF78CC"/>
    <w:rsid w:val="00BF7EE9"/>
    <w:rsid w:val="00C25293"/>
    <w:rsid w:val="00C27555"/>
    <w:rsid w:val="00C35D86"/>
    <w:rsid w:val="00C43317"/>
    <w:rsid w:val="00C4413A"/>
    <w:rsid w:val="00C470DD"/>
    <w:rsid w:val="00C82F61"/>
    <w:rsid w:val="00C970B1"/>
    <w:rsid w:val="00CC0806"/>
    <w:rsid w:val="00CF6317"/>
    <w:rsid w:val="00D36F92"/>
    <w:rsid w:val="00D524E1"/>
    <w:rsid w:val="00DE60A4"/>
    <w:rsid w:val="00E22E1C"/>
    <w:rsid w:val="00E51DD1"/>
    <w:rsid w:val="00E63CC4"/>
    <w:rsid w:val="00E841AE"/>
    <w:rsid w:val="00E95A62"/>
    <w:rsid w:val="00EB2CFF"/>
    <w:rsid w:val="00EB34FE"/>
    <w:rsid w:val="00F166B0"/>
    <w:rsid w:val="00F320A6"/>
    <w:rsid w:val="00F44E63"/>
    <w:rsid w:val="00F864CE"/>
    <w:rsid w:val="00FA2BD6"/>
    <w:rsid w:val="00FA3B79"/>
    <w:rsid w:val="00FB08C3"/>
    <w:rsid w:val="00FB4083"/>
    <w:rsid w:val="00FC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EFC63"/>
  <w15:chartTrackingRefBased/>
  <w15:docId w15:val="{235B930D-C2A4-4790-9DFE-ED66569D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2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6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6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6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6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6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6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2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2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2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26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6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26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6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6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0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FA2"/>
  </w:style>
  <w:style w:type="paragraph" w:styleId="Footer">
    <w:name w:val="footer"/>
    <w:basedOn w:val="Normal"/>
    <w:link w:val="FooterChar"/>
    <w:uiPriority w:val="99"/>
    <w:unhideWhenUsed/>
    <w:rsid w:val="00860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0F11A3-1AAB-415A-89A5-54D49363BE46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2.xml><?xml version="1.0" encoding="utf-8"?>
<ds:datastoreItem xmlns:ds="http://schemas.openxmlformats.org/officeDocument/2006/customXml" ds:itemID="{3611D2F5-25CB-4D85-BA0C-E222CB45D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7B4E32-67EA-40AB-AE63-0CE0C39791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Daniels</dc:creator>
  <cp:keywords/>
  <dc:description/>
  <cp:lastModifiedBy>Ellie Hart</cp:lastModifiedBy>
  <cp:revision>3</cp:revision>
  <cp:lastPrinted>2025-07-29T13:45:00Z</cp:lastPrinted>
  <dcterms:created xsi:type="dcterms:W3CDTF">2025-08-07T08:25:00Z</dcterms:created>
  <dcterms:modified xsi:type="dcterms:W3CDTF">2025-08-11T14:26:00Z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2025-01-29T10:56:04Z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1ef7547c-3657-4a64-aa7d-8c6bee8be33d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  <property fmtid="{D5CDD505-2E9C-101B-9397-08002B2CF9AE}" pid="10" name="MediaServiceImageTags">
    <vt:lpwstr/>
  </property>
</Properties>
</file>